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E" w:rsidRPr="003262C9" w:rsidRDefault="00A97B7D" w:rsidP="003262C9">
      <w:pPr>
        <w:rPr>
          <w:rFonts w:ascii="Verdana" w:hAnsi="Verdana"/>
          <w:color w:val="333333"/>
          <w:sz w:val="20"/>
          <w:szCs w:val="20"/>
          <w:lang w:val="es-EC"/>
        </w:rPr>
      </w:pPr>
      <w:r w:rsidRPr="00A97B7D">
        <w:rPr>
          <w:rFonts w:ascii="Verdana" w:hAnsi="Verdana"/>
          <w:b/>
          <w:bCs/>
          <w:color w:val="993300"/>
          <w:sz w:val="20"/>
          <w:szCs w:val="20"/>
          <w:lang w:val="es-EC"/>
        </w:rPr>
        <w:t xml:space="preserve">El Código de </w:t>
      </w:r>
      <w:proofErr w:type="spellStart"/>
      <w:r w:rsidRPr="00A97B7D">
        <w:rPr>
          <w:rFonts w:ascii="Verdana" w:hAnsi="Verdana"/>
          <w:b/>
          <w:bCs/>
          <w:color w:val="993300"/>
          <w:sz w:val="20"/>
          <w:szCs w:val="20"/>
          <w:lang w:val="es-EC"/>
        </w:rPr>
        <w:t>Hammurabi</w:t>
      </w:r>
      <w:proofErr w:type="spellEnd"/>
      <w:r w:rsidRPr="00A97B7D">
        <w:rPr>
          <w:rFonts w:ascii="Verdana" w:hAnsi="Verdana"/>
          <w:b/>
          <w:bCs/>
          <w:color w:val="993300"/>
          <w:sz w:val="20"/>
          <w:szCs w:val="20"/>
          <w:lang w:val="es-EC"/>
        </w:rPr>
        <w:t xml:space="preserve"> es sin lugar a dudas una de las mayores maravillas que nos ha legado la antigüedad, y es uno de los primeros intentos legislativos del ser humano. 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El Código de </w:t>
      </w:r>
      <w:hyperlink r:id="rId5" w:history="1">
        <w:proofErr w:type="spellStart"/>
        <w:r w:rsidRPr="00A97B7D">
          <w:rPr>
            <w:rStyle w:val="Hyperlink"/>
            <w:rFonts w:ascii="Verdana" w:hAnsi="Verdana"/>
            <w:sz w:val="20"/>
            <w:szCs w:val="20"/>
            <w:lang w:val="es-EC"/>
          </w:rPr>
          <w:t>Hammurabi</w:t>
        </w:r>
        <w:proofErr w:type="spellEnd"/>
      </w:hyperlink>
      <w:r>
        <w:rPr>
          <w:rFonts w:ascii="Verdana" w:hAnsi="Verdana"/>
          <w:color w:val="333333"/>
          <w:sz w:val="20"/>
          <w:szCs w:val="20"/>
          <w:lang w:val="es-EC"/>
        </w:rPr>
        <w:t>, datado hacia el año 1692 A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t>C, y es uno de los primeros conjuntos de leyes que se han encontrado y uno de los ejemplos mejor conservados de este tipo de documento de la antigua Mesopotamia.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Se presenta como una gran estela de basalto de 2,25 metros de alto. En lo alto hay una escultura que representa a </w:t>
      </w:r>
      <w:hyperlink r:id="rId6" w:history="1">
        <w:proofErr w:type="spellStart"/>
        <w:r w:rsidRPr="00A97B7D">
          <w:rPr>
            <w:rStyle w:val="Hyperlink"/>
            <w:rFonts w:ascii="Verdana" w:hAnsi="Verdana"/>
            <w:sz w:val="20"/>
            <w:szCs w:val="20"/>
            <w:lang w:val="es-EC"/>
          </w:rPr>
          <w:t>Hammurabi</w:t>
        </w:r>
        <w:proofErr w:type="spellEnd"/>
        <w:r w:rsidRPr="00A97B7D">
          <w:rPr>
            <w:rStyle w:val="Hyperlink"/>
            <w:rFonts w:ascii="Verdana" w:hAnsi="Verdana"/>
            <w:sz w:val="20"/>
            <w:szCs w:val="20"/>
            <w:lang w:val="es-EC"/>
          </w:rPr>
          <w:t xml:space="preserve"> </w:t>
        </w:r>
      </w:hyperlink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de pie delante del dios del Sol de Mesopotamia,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Shamash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. Debajo aparecen inscritos, en caracteres cuneiformes acadios, leyes que rigen la vida cotidiana. Fue colocado en el templo de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Sippar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; igualmente se colocaron varios otros ejemplares a lo largo y ancho del reino. El objeto de esta ley era homogeneizar jurídicamente el reino de </w:t>
      </w:r>
      <w:hyperlink r:id="rId7" w:history="1">
        <w:proofErr w:type="spellStart"/>
        <w:r w:rsidRPr="00A97B7D">
          <w:rPr>
            <w:rStyle w:val="Hyperlink"/>
            <w:rFonts w:ascii="Verdana" w:hAnsi="Verdana"/>
            <w:sz w:val="20"/>
            <w:szCs w:val="20"/>
            <w:lang w:val="es-EC"/>
          </w:rPr>
          <w:t>Hammurabi</w:t>
        </w:r>
        <w:proofErr w:type="spellEnd"/>
      </w:hyperlink>
      <w:r w:rsidRPr="00A97B7D">
        <w:rPr>
          <w:rFonts w:ascii="Verdana" w:hAnsi="Verdana"/>
          <w:color w:val="333333"/>
          <w:sz w:val="20"/>
          <w:szCs w:val="20"/>
          <w:lang w:val="es-EC"/>
        </w:rPr>
        <w:t>. De este modo, dando a todas las partes del reino una cultura común, se podía controlar el todo con mayor facilidad.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Durante las diferentes invasiones de Babilonia, el código fue trasladado hacia el 1200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aec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a la ciudad de Susa (en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Elam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), actualmente en el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Jusistán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(Irán). En esta ciudad fue descubierto por la expedición que dirigió Jacques de Morgan, en diciembre de 1901. Fue llevado a París, Francia, donde el padre Jean-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Vincent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Scheil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tradujo el código íntegro al francés. Posteriormente, el código se puso en exhibición en el Museo del Louvre, en París, donde se encuentra hasta la fecha.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lang w:val="es-EC"/>
        </w:rPr>
        <w:t>Contenido jurí</w:t>
      </w:r>
      <w:r w:rsidRPr="00A97B7D">
        <w:rPr>
          <w:rFonts w:ascii="Verdana" w:hAnsi="Verdana"/>
          <w:b/>
          <w:bCs/>
          <w:color w:val="333333"/>
          <w:sz w:val="20"/>
          <w:szCs w:val="20"/>
          <w:lang w:val="es-EC"/>
        </w:rPr>
        <w:t>dico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Las leyes del Código de 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Hammurabi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>, (numeradas del 1 al 282, aunque faltan los números 13, 66–99 y 110–111) están inscritas en babilonio antiguo y fijan diversas reglas de la vida cotidiana. Norman particularmente: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>* la jerarquización de la sociedad: existen tres grupos, los hombres libres, los "</w:t>
      </w:r>
      <w:proofErr w:type="spellStart"/>
      <w:r w:rsidRPr="00A97B7D">
        <w:rPr>
          <w:rFonts w:ascii="Verdana" w:hAnsi="Verdana"/>
          <w:color w:val="333333"/>
          <w:sz w:val="20"/>
          <w:szCs w:val="20"/>
          <w:lang w:val="es-EC"/>
        </w:rPr>
        <w:t>muskenu</w:t>
      </w:r>
      <w:proofErr w:type="spellEnd"/>
      <w:r w:rsidRPr="00A97B7D">
        <w:rPr>
          <w:rFonts w:ascii="Verdana" w:hAnsi="Verdana"/>
          <w:color w:val="333333"/>
          <w:sz w:val="20"/>
          <w:szCs w:val="20"/>
          <w:lang w:val="es-EC"/>
        </w:rPr>
        <w:t>" (quienes se especula podrían ser siervos o subalternos) y los esclavos.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* </w:t>
      </w:r>
      <w:proofErr w:type="gramStart"/>
      <w:r w:rsidRPr="00A97B7D">
        <w:rPr>
          <w:rFonts w:ascii="Verdana" w:hAnsi="Verdana"/>
          <w:color w:val="333333"/>
          <w:sz w:val="20"/>
          <w:szCs w:val="20"/>
          <w:lang w:val="es-EC"/>
        </w:rPr>
        <w:t>los</w:t>
      </w:r>
      <w:proofErr w:type="gram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precios: los honorarios de los médicos varían según se atienda a un hombre libre o a un esclavo.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* </w:t>
      </w:r>
      <w:proofErr w:type="gramStart"/>
      <w:r w:rsidRPr="00A97B7D">
        <w:rPr>
          <w:rFonts w:ascii="Verdana" w:hAnsi="Verdana"/>
          <w:color w:val="333333"/>
          <w:sz w:val="20"/>
          <w:szCs w:val="20"/>
          <w:lang w:val="es-EC"/>
        </w:rPr>
        <w:t>los</w:t>
      </w:r>
      <w:proofErr w:type="gram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salarios: varían según la naturaleza de los trabajos realizados.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* </w:t>
      </w:r>
      <w:proofErr w:type="gramStart"/>
      <w:r w:rsidRPr="00A97B7D">
        <w:rPr>
          <w:rFonts w:ascii="Verdana" w:hAnsi="Verdana"/>
          <w:color w:val="333333"/>
          <w:sz w:val="20"/>
          <w:szCs w:val="20"/>
          <w:lang w:val="es-EC"/>
        </w:rPr>
        <w:t>la</w:t>
      </w:r>
      <w:proofErr w:type="gram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responsabilidad profesional: un arquitecto que haya construido una casa que se desplome sobre sus ocupantes y les haya causado la muerte es condenado a la pena de muerte.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* </w:t>
      </w:r>
      <w:proofErr w:type="gramStart"/>
      <w:r w:rsidRPr="00A97B7D">
        <w:rPr>
          <w:rFonts w:ascii="Verdana" w:hAnsi="Verdana"/>
          <w:color w:val="333333"/>
          <w:sz w:val="20"/>
          <w:szCs w:val="20"/>
          <w:lang w:val="es-EC"/>
        </w:rPr>
        <w:t>el</w:t>
      </w:r>
      <w:proofErr w:type="gram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funcionamiento judicial: la justicia la imparten los tribunales y se puede apelar al rey; los fallos se deben plasmar por escrito.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 xml:space="preserve">* </w:t>
      </w:r>
      <w:proofErr w:type="gramStart"/>
      <w:r w:rsidRPr="00A97B7D">
        <w:rPr>
          <w:rFonts w:ascii="Verdana" w:hAnsi="Verdana"/>
          <w:color w:val="333333"/>
          <w:sz w:val="20"/>
          <w:szCs w:val="20"/>
          <w:lang w:val="es-EC"/>
        </w:rPr>
        <w:t>las</w:t>
      </w:r>
      <w:proofErr w:type="gramEnd"/>
      <w:r w:rsidRPr="00A97B7D">
        <w:rPr>
          <w:rFonts w:ascii="Verdana" w:hAnsi="Verdana"/>
          <w:color w:val="333333"/>
          <w:sz w:val="20"/>
          <w:szCs w:val="20"/>
          <w:lang w:val="es-EC"/>
        </w:rPr>
        <w:t xml:space="preserve"> penas: aparece inscrita toda una escala de penas según los delitos y crímenes cometidos. La base de esta escala es la Ley del Talión.</w:t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</w:r>
      <w:r w:rsidRPr="00A97B7D">
        <w:rPr>
          <w:rFonts w:ascii="Verdana" w:hAnsi="Verdana"/>
          <w:color w:val="333333"/>
          <w:sz w:val="20"/>
          <w:szCs w:val="20"/>
          <w:lang w:val="es-EC"/>
        </w:rPr>
        <w:br/>
        <w:t>Se tratan también el robo, la actividad agrícola (o pecuaria), el daño a la propiedad, los derechos de la mujer, los derechos en el matrimonio, los derechos de los menores, los derechos de los esclavos, homicidio, muerte y lesiones. El castigo varía según el tipo de delincuente y de víctima.</w:t>
      </w:r>
      <w:bookmarkStart w:id="0" w:name="3783302116895480448"/>
      <w:bookmarkEnd w:id="0"/>
    </w:p>
    <w:p w:rsidR="008D33CA" w:rsidRPr="0067145E" w:rsidRDefault="004E2A90" w:rsidP="00EE4BDA">
      <w:pPr>
        <w:pStyle w:val="NormalWeb"/>
        <w:jc w:val="center"/>
        <w:rPr>
          <w:rFonts w:ascii="Bernard MT Condensed" w:hAnsi="Bernard MT Condensed"/>
          <w:color w:val="333333"/>
          <w:sz w:val="36"/>
          <w:szCs w:val="36"/>
          <w:lang w:val="es-EC"/>
        </w:rPr>
      </w:pPr>
      <w:r>
        <w:rPr>
          <w:rFonts w:ascii="Bernard MT Condensed" w:hAnsi="Bernard MT Condensed"/>
          <w:b/>
          <w:bCs/>
          <w:color w:val="333333"/>
          <w:sz w:val="36"/>
          <w:szCs w:val="36"/>
          <w:lang w:val="es-EC"/>
        </w:rPr>
        <w:lastRenderedPageBreak/>
        <w:t>Una</w:t>
      </w:r>
      <w:r w:rsidR="00EE4BDA" w:rsidRPr="0067145E">
        <w:rPr>
          <w:rFonts w:ascii="Bernard MT Condensed" w:hAnsi="Bernard MT Condensed"/>
          <w:b/>
          <w:bCs/>
          <w:color w:val="333333"/>
          <w:sz w:val="36"/>
          <w:szCs w:val="36"/>
          <w:lang w:val="es-EC"/>
        </w:rPr>
        <w:t>s</w:t>
      </w:r>
      <w:r w:rsidR="008D33CA" w:rsidRPr="0067145E">
        <w:rPr>
          <w:rFonts w:ascii="Bernard MT Condensed" w:hAnsi="Bernard MT Condensed"/>
          <w:b/>
          <w:bCs/>
          <w:color w:val="333333"/>
          <w:sz w:val="36"/>
          <w:szCs w:val="36"/>
          <w:lang w:val="es-EC"/>
        </w:rPr>
        <w:t xml:space="preserve"> Leyes</w:t>
      </w:r>
    </w:p>
    <w:p w:rsidR="008D33CA" w:rsidRPr="008D33CA" w:rsidRDefault="008D33CA" w:rsidP="008D33CA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3:</w:t>
      </w:r>
      <w:r w:rsidRPr="008D33CA">
        <w:rPr>
          <w:rFonts w:ascii="Verdana" w:hAnsi="Verdana"/>
          <w:color w:val="333333"/>
          <w:sz w:val="22"/>
          <w:szCs w:val="22"/>
          <w:lang w:val="es-EC"/>
        </w:rPr>
        <w:t xml:space="preserve"> Si </w:t>
      </w:r>
      <w:r w:rsidR="004E2A90">
        <w:rPr>
          <w:rFonts w:ascii="Verdana" w:hAnsi="Verdana"/>
          <w:color w:val="333333"/>
          <w:sz w:val="22"/>
          <w:szCs w:val="22"/>
          <w:lang w:val="es-EC"/>
        </w:rPr>
        <w:t xml:space="preserve">alguien </w:t>
      </w:r>
      <w:r w:rsidRPr="008D33CA">
        <w:rPr>
          <w:rFonts w:ascii="Verdana" w:hAnsi="Verdana"/>
          <w:color w:val="333333"/>
          <w:sz w:val="22"/>
          <w:szCs w:val="22"/>
          <w:lang w:val="es-EC"/>
        </w:rPr>
        <w:t>en un proceso ha dado testimonio de cargo y no ha probado la palabra que dijo, si este proceso es por un crimen que podría acarrear la muerte, este hombre es pasible de muerte.</w:t>
      </w:r>
    </w:p>
    <w:p w:rsidR="008D33CA" w:rsidRPr="008D33CA" w:rsidRDefault="008D33CA" w:rsidP="008D33CA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6:</w:t>
      </w:r>
      <w:r w:rsidRPr="008D33CA">
        <w:rPr>
          <w:rFonts w:ascii="Verdana" w:hAnsi="Verdana"/>
          <w:color w:val="333333"/>
          <w:sz w:val="22"/>
          <w:szCs w:val="22"/>
          <w:lang w:val="es-EC"/>
        </w:rPr>
        <w:t xml:space="preserve"> Si uno robó el tesoro del dios o del palacio, recibirá la muerte y el que hubiere recibido de su mano el objeto robado, recibirá la muerte.</w:t>
      </w:r>
    </w:p>
    <w:p w:rsidR="008D33CA" w:rsidRPr="008D33CA" w:rsidRDefault="008D33CA" w:rsidP="008D33CA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14:</w:t>
      </w:r>
      <w:r w:rsidRPr="008D33CA">
        <w:rPr>
          <w:rFonts w:ascii="Verdana" w:hAnsi="Verdana"/>
          <w:color w:val="333333"/>
          <w:sz w:val="22"/>
          <w:szCs w:val="22"/>
          <w:lang w:val="es-EC"/>
        </w:rPr>
        <w:t xml:space="preserve"> Si uno robó el hijito de un hombre libre, </w:t>
      </w:r>
      <w:r w:rsidR="004E2A90" w:rsidRPr="008D33CA">
        <w:rPr>
          <w:rFonts w:ascii="Verdana" w:hAnsi="Verdana"/>
          <w:color w:val="333333"/>
          <w:sz w:val="22"/>
          <w:szCs w:val="22"/>
          <w:lang w:val="es-EC"/>
        </w:rPr>
        <w:t>recibirá la muerte.</w:t>
      </w:r>
    </w:p>
    <w:p w:rsidR="008D33CA" w:rsidRDefault="008D33CA" w:rsidP="008D33CA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22:</w:t>
      </w:r>
      <w:r w:rsidRPr="008D33CA">
        <w:rPr>
          <w:rFonts w:ascii="Verdana" w:hAnsi="Verdana"/>
          <w:color w:val="333333"/>
          <w:sz w:val="22"/>
          <w:szCs w:val="22"/>
          <w:lang w:val="es-EC"/>
        </w:rPr>
        <w:t xml:space="preserve"> Si uno ejerció el bandidaje y es atrapado, recibirá la muerte.</w:t>
      </w:r>
    </w:p>
    <w:p w:rsidR="00EE4BDA" w:rsidRPr="00E55806" w:rsidRDefault="00E55806" w:rsidP="008D33CA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lang w:val="es-EC"/>
        </w:rPr>
        <w:t>Ley 53:</w:t>
      </w:r>
      <w:r w:rsidRPr="00E55806">
        <w:rPr>
          <w:rFonts w:ascii="Verdana" w:hAnsi="Verdana"/>
          <w:color w:val="333333"/>
          <w:lang w:val="es-EC"/>
        </w:rPr>
        <w:t xml:space="preserve"> Si uno, negligente en reforzar su dique, no ha fortificado el dique y se produce una brecha en él, y la zona se ha inundado de agua, ese restituirá el trigo que ha destruido.</w:t>
      </w:r>
    </w:p>
    <w:p w:rsidR="00E55806" w:rsidRP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109: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 xml:space="preserve"> Si se reúnen rebeldes en casa de una comerciante de vino de dátiles con sésamo y ésta no les toma y conduce al palacio, será muerta.</w:t>
      </w:r>
    </w:p>
    <w:p w:rsidR="00E55806" w:rsidRP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121: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 xml:space="preserve"> Si uno ha depositado en la casa de otro, trigo, por cada año y GUR de trigo, dará 5 QA de trigo precio del almacenaje.</w:t>
      </w:r>
    </w:p>
    <w:p w:rsidR="00E55806" w:rsidRP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188: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 xml:space="preserve"> Si un artesano adoptó un niño y le enseñó su arte, no puede ser reclamado.</w:t>
      </w:r>
    </w:p>
    <w:p w:rsidR="00E55806" w:rsidRP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196: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 xml:space="preserve"> Si un hombre libre vació el ojo de un hijo de hombre libre, se vaciará su ojo.</w:t>
      </w:r>
    </w:p>
    <w:p w:rsidR="00EE4BDA" w:rsidRP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E55806">
        <w:rPr>
          <w:rFonts w:ascii="Verdana" w:hAnsi="Verdana"/>
          <w:b/>
          <w:color w:val="333333"/>
          <w:sz w:val="22"/>
          <w:szCs w:val="22"/>
          <w:lang w:val="es-EC"/>
        </w:rPr>
        <w:t>Ley 197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>: Si quebró un hueso de un hombre, se quebrará su hueso.</w:t>
      </w:r>
    </w:p>
    <w:p w:rsidR="00EE4BDA" w:rsidRP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67145E">
        <w:rPr>
          <w:rFonts w:ascii="Verdana" w:hAnsi="Verdana"/>
          <w:b/>
          <w:color w:val="333333"/>
          <w:sz w:val="22"/>
          <w:szCs w:val="22"/>
          <w:lang w:val="es-EC"/>
        </w:rPr>
        <w:t>Ley 199: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 xml:space="preserve"> Si vació el ojo de un esclavo de hombre libre o si rompió el hueso de un esclavo de hombre libre, pagará la mitad de su precio.</w:t>
      </w:r>
    </w:p>
    <w:p w:rsidR="00E55806" w:rsidRDefault="00E55806" w:rsidP="00E55806">
      <w:pPr>
        <w:pStyle w:val="NormalWeb"/>
        <w:rPr>
          <w:rFonts w:ascii="Verdana" w:hAnsi="Verdana"/>
          <w:color w:val="333333"/>
          <w:sz w:val="22"/>
          <w:szCs w:val="22"/>
          <w:lang w:val="es-EC"/>
        </w:rPr>
      </w:pPr>
      <w:r w:rsidRPr="0067145E">
        <w:rPr>
          <w:rFonts w:ascii="Verdana" w:hAnsi="Verdana"/>
          <w:b/>
          <w:color w:val="333333"/>
          <w:sz w:val="22"/>
          <w:szCs w:val="22"/>
          <w:lang w:val="es-EC"/>
        </w:rPr>
        <w:t>Ley 200</w:t>
      </w:r>
      <w:r w:rsidRPr="00E55806">
        <w:rPr>
          <w:rFonts w:ascii="Verdana" w:hAnsi="Verdana"/>
          <w:color w:val="333333"/>
          <w:sz w:val="22"/>
          <w:szCs w:val="22"/>
          <w:lang w:val="es-EC"/>
        </w:rPr>
        <w:t>: Si un hombre libre arrancó un diente a otro hombre libre, su igual, se le arrancará su diente.</w:t>
      </w:r>
    </w:p>
    <w:p w:rsidR="003262C9" w:rsidRPr="003262C9" w:rsidRDefault="003262C9" w:rsidP="00E55806">
      <w:pPr>
        <w:pStyle w:val="NormalWeb"/>
        <w:rPr>
          <w:rFonts w:ascii="Verdana" w:hAnsi="Verdana"/>
          <w:b/>
          <w:color w:val="333333"/>
          <w:sz w:val="22"/>
          <w:szCs w:val="22"/>
          <w:u w:val="single"/>
          <w:lang w:val="es-EC"/>
        </w:rPr>
      </w:pPr>
      <w:r w:rsidRPr="003262C9">
        <w:rPr>
          <w:rFonts w:ascii="Verdana" w:hAnsi="Verdana"/>
          <w:b/>
          <w:color w:val="333333"/>
          <w:sz w:val="22"/>
          <w:szCs w:val="22"/>
          <w:u w:val="single"/>
          <w:lang w:val="es-EC"/>
        </w:rPr>
        <w:t>Preguntas</w:t>
      </w:r>
    </w:p>
    <w:p w:rsidR="003262C9" w:rsidRDefault="003262C9" w:rsidP="003262C9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2"/>
          <w:lang w:val="es-EC"/>
        </w:rPr>
      </w:pPr>
      <w:r>
        <w:rPr>
          <w:rFonts w:ascii="Verdana" w:hAnsi="Verdana"/>
          <w:color w:val="333333"/>
          <w:sz w:val="22"/>
          <w:szCs w:val="22"/>
          <w:lang w:val="es-EC"/>
        </w:rPr>
        <w:t>¿Cuáles son las tres ofensas que merecían la pena de la muerte?</w:t>
      </w:r>
    </w:p>
    <w:p w:rsidR="003262C9" w:rsidRDefault="003262C9" w:rsidP="003262C9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2"/>
          <w:lang w:val="es-EC"/>
        </w:rPr>
      </w:pPr>
      <w:r>
        <w:rPr>
          <w:rFonts w:ascii="Verdana" w:hAnsi="Verdana"/>
          <w:color w:val="333333"/>
          <w:sz w:val="22"/>
          <w:szCs w:val="22"/>
          <w:lang w:val="es-EC"/>
        </w:rPr>
        <w:t>Escribe la ley 188 en tus propias palabras.</w:t>
      </w:r>
    </w:p>
    <w:p w:rsidR="003262C9" w:rsidRDefault="003262C9" w:rsidP="003262C9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2"/>
          <w:lang w:val="es-EC"/>
        </w:rPr>
      </w:pPr>
      <w:r>
        <w:rPr>
          <w:rFonts w:ascii="Verdana" w:hAnsi="Verdana"/>
          <w:color w:val="333333"/>
          <w:sz w:val="22"/>
          <w:szCs w:val="22"/>
          <w:lang w:val="es-EC"/>
        </w:rPr>
        <w:t>¿Qué podríamos saber de las leyes 199 y 200 sobre la igualdad social?</w:t>
      </w:r>
    </w:p>
    <w:p w:rsidR="003262C9" w:rsidRDefault="003262C9" w:rsidP="003262C9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2"/>
          <w:lang w:val="es-EC"/>
        </w:rPr>
      </w:pPr>
      <w:r>
        <w:rPr>
          <w:rFonts w:ascii="Verdana" w:hAnsi="Verdana"/>
          <w:color w:val="333333"/>
          <w:sz w:val="22"/>
          <w:szCs w:val="22"/>
          <w:lang w:val="es-EC"/>
        </w:rPr>
        <w:t>¿Qué era el propósito de escribir las leyes?</w:t>
      </w:r>
    </w:p>
    <w:p w:rsidR="008D33CA" w:rsidRPr="003307C0" w:rsidRDefault="003262C9" w:rsidP="003307C0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2"/>
          <w:lang w:val="es-EC"/>
        </w:rPr>
      </w:pPr>
      <w:r>
        <w:rPr>
          <w:rFonts w:ascii="Verdana" w:hAnsi="Verdana"/>
          <w:color w:val="333333"/>
          <w:sz w:val="22"/>
          <w:szCs w:val="22"/>
          <w:lang w:val="es-EC"/>
        </w:rPr>
        <w:t xml:space="preserve">¿Qué puedes concluir sobre la sociedad de </w:t>
      </w:r>
      <w:proofErr w:type="spellStart"/>
      <w:r>
        <w:rPr>
          <w:rFonts w:ascii="Verdana" w:hAnsi="Verdana"/>
          <w:color w:val="333333"/>
          <w:sz w:val="22"/>
          <w:szCs w:val="22"/>
          <w:lang w:val="es-EC"/>
        </w:rPr>
        <w:t>Hammurabi</w:t>
      </w:r>
      <w:proofErr w:type="spellEnd"/>
      <w:r>
        <w:rPr>
          <w:rFonts w:ascii="Verdana" w:hAnsi="Verdana"/>
          <w:color w:val="333333"/>
          <w:sz w:val="22"/>
          <w:szCs w:val="22"/>
          <w:lang w:val="es-EC"/>
        </w:rPr>
        <w:t>?</w:t>
      </w:r>
    </w:p>
    <w:sectPr w:rsidR="008D33CA" w:rsidRPr="003307C0" w:rsidSect="0033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AB1"/>
    <w:multiLevelType w:val="hybridMultilevel"/>
    <w:tmpl w:val="A884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B7D"/>
    <w:rsid w:val="0017393F"/>
    <w:rsid w:val="003262C9"/>
    <w:rsid w:val="003307C0"/>
    <w:rsid w:val="003314F8"/>
    <w:rsid w:val="003C512F"/>
    <w:rsid w:val="004E2A90"/>
    <w:rsid w:val="0067145E"/>
    <w:rsid w:val="00857822"/>
    <w:rsid w:val="00883401"/>
    <w:rsid w:val="008D33CA"/>
    <w:rsid w:val="00A97B7D"/>
    <w:rsid w:val="00BD7C41"/>
    <w:rsid w:val="00C04983"/>
    <w:rsid w:val="00E55806"/>
    <w:rsid w:val="00E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F8"/>
  </w:style>
  <w:style w:type="paragraph" w:styleId="Heading2">
    <w:name w:val="heading 2"/>
    <w:basedOn w:val="Normal"/>
    <w:link w:val="Heading2Char"/>
    <w:uiPriority w:val="9"/>
    <w:qFormat/>
    <w:rsid w:val="008D3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3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B7D"/>
    <w:rPr>
      <w:color w:val="336699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3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33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5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4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iaclasica.com/2007/06/quin-fue-hammurab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aclasica.com/2007/06/quin-fue-hammurabi.html" TargetMode="External"/><Relationship Id="rId5" Type="http://schemas.openxmlformats.org/officeDocument/2006/relationships/hyperlink" Target="http://www.historiaclasica.com/2007/06/quin-fue-hammurab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yeimiy.velasquez-dia</cp:lastModifiedBy>
  <cp:revision>7</cp:revision>
  <cp:lastPrinted>2013-11-18T13:41:00Z</cp:lastPrinted>
  <dcterms:created xsi:type="dcterms:W3CDTF">2012-11-13T21:09:00Z</dcterms:created>
  <dcterms:modified xsi:type="dcterms:W3CDTF">2013-11-18T19:31:00Z</dcterms:modified>
</cp:coreProperties>
</file>